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Вельган Олег Владимирович обратился в суд с заявлением о включении в реестр требований кредиторов должника (далее – реестр) требования в размере 4 000 000 рублей основного долга, 1 441 126 рублей 97 копеек процентов за пользование чужими денежными средствами, 400 000 рублей штрафа и 4 700 000 рублей убытков, одновременно заявив ходатайство о восстановлении пропущенного срока. Определением Арбитражного суда города Москвы от 19.08.2021, оставленным без изменения постановлением Девятого арбитражного апелляционного суда от 11.11.2021, ходатайство о восстановлении пропущенного срока оставлено без удовлетворения, требование признано необоснованным. Постановлением Арбитражного суда Московского округа от 21.02.2022 данные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196, 200, 204, 429 Гражданского кодекса Российской Федерации, пунктом 14 постановления Пленума Верховного Суда РФ от 29.09.2015 № 43 «О некоторых вопросах, связанных с применением норм Гражданского кодекса Российской Федерации об исковой давности», исходил из того, что содержащиеся в них выводы основаны неполном выяснении фактических и имеющих существенное значение для дела обстоятельств.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«Колизей» Бобровскому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