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10.06.2021, оставленным без изменения постановлением Девятого арбитражного апелляционного суда от 11.10.2021 и постановлением Арбитражного суда Московского округа от 18.02.2022, в удовлетворении первоначального и встречного исков отказано. 2 В кассационной жалобе, поданной в Верховный Суд Российской Федерации, Перов Д.Д. и Перова В.В., ссылаясь на нарушение судами норм права, просят отменить указанные судебные акты в части отказа в удовлетворении первоначального иска и направить дело в указанной части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Как следует из судебных актов, исковые требования Перова Д.Д. (участник долевого строительства) мотивированы наличием недостатков в переданной обществом (застройщик) квартире и оснований для сальдирования денежных обязательств.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вступившее в законную силу решение суда общей юрисдикции, руководствуясь положениями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констатировав, что Перов Д.Д. не представил доказательств, свидетельствующих о том, что на дату приемки спорная квартира не соответствовала установленным требованиям и имела недостатки, а также об отсутствии своей вины в выявленных недостатках и наличии причинно-следственной связи между этими недостатками и действиями общества при производстве строительных работ, суды первой и апелляционной инстанций пришли к выводу о неподтвержденности задолженности общества перед истцом, в связи с чем отказали в удовлетворении его требований. Суд округа поддержал выводы судов первой и апелляционной инстанций. Доводы кассационной жалобы не опровергают выводы судов, не подтверждают нарушений судами норм материального и процессуального права, повлиявших на исход дела, и в силу статьи 291.6 Арбитражного 3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Перова Дениса Дмитриевича и Перовой Виктории Васильевны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