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22.10.2021, оставленным без изменения постановлением Десятого арбитражного апелляционного суда от 01.12.2021 и постановлением Арбитражного суда Московского округа от 01.03.2022, в удовлетворении первоначального иска отказано, встречный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Московской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первоначальный иск мотивирован несогласием с начислением и удержанием корпорацией (покупатель) суммы неустойки из стоимости поставленного обществом (поставщик) товара по договору от 30.07.2019 № 300719 (далее – договор). Встречный иск обоснован нарушением обществом срока выполнения пуско-наладочных работ по договору.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договора, суды первой и апелляционной инстанций установили факт поставки обществом товара ненадлежащего качества и нарушения им срока выполнения пуско-наладочных работ, отсутствие доказательств наличия обстоятельств непреодолимой силы или виновных действий корпорации в просрочке исполнения обязательств, а также явной несоразмерности неустойки последствиям нарушенного обязательства. При таких обстоятельствах, руководствуясь статьями 309, 310, 329, 330, 421, 506, 516, 702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 том, что предусмотренная пунктом 9.5 договора мера ответственности за нарушение обществом сроков выполнения работ в виде неустойки в начисленном размере соответствует условиям договора и последствиям нарушения им обязательства, признав правомерным удержание неустойки из стоимости поставленного обществом товара, не усмотрев оснований для снижения ее размера, отказали в удовлетворении первоначального иска и удовлетворили встречные требования.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3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«Суффекта»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