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подлежало рассмотрению требование общества о включении в реестр требований кредиторов должника (далее – реестр) задолженности в размере 238 472 669 рублей 78 копеек. Определением Арбитражного суда города Москвы от 22.07.2021, оставленным без изменения постановлениями Девятого арбитражного апелляционного суда от 22.11.2021 и Арбитражного суда Московского округа от 21.02.2022,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удовлетворения его требования.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установив обстоятельства предоставления аффилированным лицом компенсационного финансирования должнику в ситуации имущественного кризиса, обоснованно понизили очередность заявленного требования. Выводы судов в обжалуемой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«Суперфиций»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