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08.07.2021, оставленным без изменения постановлениями Двенадцатого арбитражного апелляционного суда от 17.09.2021 и Арбитражного суда Поволжского округа от 21.02.2022, производство по делу в части отказа от заявленных требований о признании недействительным решения инспекции в части доначисления налога на добавленную стоимость (далее – НДС) в размере 747 000 рублей, начисления 2 соответствующих сумм пени прекращено. В удовлетворении остальной части заявления общества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 и своевременности уплаты (удержания, перечисления) налога на прибыль организаций, НДС, налога на имущество организаций, транспортного налога, налога на доходы физических лиц за период с 01.01.2016 по 31.12.2017, страховых взносов за период с 01.01.2017 по 31.12.2017 инспекцией вынесено оспариваемое решение, которым обществу доначислены налоги в общей сумме 14 468 377 рублей, начислены соответствующие суммы пеней и штрафа. Доначисление оспариваемым решением инспекции налогов связано с выводами об искажении налогоплательщиком сведений по взаимоотношениям с контрагентами - обществами с ограниченной ответственностью «Строй-С» и «Энергострой Проект» (далее - контрагенты), выразившимся в фактическом выполнении работ иными юридическими лицами. Решением управления от 03.12.2020,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54.1, 122, 168, 169, 171, 172, 173, 252 Налогового кодекса Российской Федерации, Федерального закона от 06.12.2011 № 402-ФЗ «О бухгалтерском учете»,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выгоды»,суды пришли к выводу о правомерности произведенных инспекцией доначислений соответствующих налогов, сумм пеней и штрафа. 3 Судебные инстанции исходили из неправомерного уменьшения обществом суммы НДС, подлежащей уплате в бюджет, в результате умышленного искажения сведений о фактах хозяйственной деятельности, подлежащих отражению в налоговом и бухгалтерском учете, в налоговой отчетности. При исследовании обстоятельств дела установлено построение налогоплательщиком и его контрагентами искусственных договорных отношений, имитирующих реальную экономическую деятельность, в результате чего созданы условия для применения налогового вычета по НДС и принятия расходов при исчислении налога на прибыль (создан формальный документооборот с участниками спорных сделок); наличие вины общества во вменяемом налоговом правонарушении. Кроме того, суды пришли к выводу о предьявлении обществом налоговых вычетов по НДС по счетам-фактурам от 25.12.2013 № 208 и от 18.02.2014 № 000000171/08 за пределами трехлетнего срока.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«Строительно-монтажный поезд 377»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