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03.08.2021, оставленным без изменения постановлениями Семнадцатого арбитражного апелляционного суда от 15.10.2021 и Арбитражного суда Уральского округа от 02.03.2022, в удовлетворении заявленного требования отказано. В кассационной жалобе, поданной в Верховный Суд Российской Федерации, общество ссылается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в отношении одиннадцати категорированных объектов филиала общества управлением выдано предписание о необходимости обеспечить вооруженную охрану объектов топливно-энергетического комплекса. Не согласившись с предписанием управления, общество обратилось в арбитражный суд с заявлением о признании его недействительным.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21.07.2011 № 256-ФЗ «О безопасности объектов топливно-энергетического комплекса», Федерального закона от 03.07.2016 № 226-ФЗ «О войсках национальной гвардии Российской Федерации», Положением о Федеральной службе войск национальной гвардии, утвержденным Указом Президента Российской Федерации от 30.09.2016 № 510, Правилами осуществления Федеральной службой войск национальной гвардии Российской Федерации и ее территориальными органами федерального государственного контроля (надзора) за обеспечением безопасности объектов топливно-энергетического комплекса, утвержденными постановлением Правительства Российской Федерации от 20.10.2016 № 1067, Правилами по обеспечению безопасности и антитеррористической защищенности объектов топливно-энергетического комплекса, утвержденными постановлением Правительства Российской Федерации от 05.05.2012 № 458дсп, Требованиями по обеспечению безопасности линейных объектов топливно-энергетического комплекса, утвержденными постановлением Правительства Российской Федерации от 19.09.2015 № 993дсп, постановлением Правительства Российской Федерации от 23.06.2011 № 498 «О некоторых вопросах осуществления частной детективной (сыскной) и частной охранной деятельности», суды пришли к выводу о том, что оспариваемое предписание является законным и обоснованным, не нарушает права и законные интересы заявителя в сфере предпринимательской деятельности. При этом судебные инстанции исходили из того, что на момент проверки подразделение охраны не имело в своем распоряжении служебного оружия, без которого обеспечение безопасности и антитеррористической защищенности объектов невозможно. 3 Суды указали, что охрану объектов топливно-энергетического комплекса вправе осуществлять подразделения охраны, имеющие в своем распоряжении гражданское, служебное оружие и специальные средства. Доводы кассационной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единой энергетической системы» в лице филиала Пермского предприятия магистральных электрических сетей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