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спора решением суда первой инстанции от 20.09.2021, оставленным без изменения постановлениями Пятнадцатого арбитражного апелляционного суда от 30.11.2021 и Арбитражного суда Северо-Кавказского округа от 13.03.2022, заявленное требование удовлетворено. В кассационной жалобе управление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2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плановой ревизии финансово-хозяйственной деятельности войсковой части за период с 01.01.2018 по 31.12.2018 управлением установлено необоснованное применение прогнозного индекса изменения сметной стоимости строительства – 6,67, вместо – 6,04, при определении стоимости выполненных работ по контракту, заключенному с индивидуальным предпринимателем Гаврусом Виктором Михайловичем (далее - предприниматель) на выполнение работ по текущему ремонту эскадрильско-технического здания войсковой части. Предписанием управления на войсковую часть возложена обязанность по возвращению в доход федерального бюджета средств в сумме 47 226 рублей 50 копеек. Не соглашаясь с указанным ненормативным правовым актом, войсковая часть обратилась в арбитражный суд с заявлением о признании его недействительным. Исследовав и оценив представленные в материалы дела доказательства, руководствуясь положениями части 1 статьи 8.3 Градостроительного кодекса Российской Федерации, Методикой определения стоимости строительной продукции на территории Российской Федерации (МДС 81-35.2004), утвержденной постановлением Госстроя России от 05.03.2004 № 15/1 «Об утверждении и введении в действие Методики определения стоимости строительной продукции на территории Российской Федерации», суды пришли к выводу о наличии оснований для признания предписания управления недействительным. Судебные инстанции исходили из того, что применение войсковой частью спорного индекса сметной стоимости строительства фактически не причинило вреда бюджету. Суды указали, что войсковой части при заключении государственного контракта с предпринимателем надлежало применить наименьший индекс изменения сметной стоимости строительства по виду строительства - 6,04, относящийся к «административным зданиям» в целях экономии денежных средств, при этом отметили, что для выполнения ремонтных работ зданий и сооружений в 2018 году войсковой части из федерального бюджета выделено 500 000 рублей, в связи с чем для организации проведения закупки работ заказчику необходимо было уменьшить общий объем работ, либо применить в проектно-сметном расчете коэффициент понижающей экономии для того, чтобы снизить начальную максимальную цену контракта до доведенных лимитов бюджетных средств, что и было сделано. 3 Принимая во внимание изложенное, суды признали, что снижение цены от стоимости работ, исчисленной независимо от индекса изменения сметной стоимости строительства 6,67 или 6,04, до 500 000 рублей было бы осуществлено путем изменения понижающего коэффициента, размер которого определяется расчетным путем, исходя из расчетной цены и стоимости контракта, определенной по результатам аукциона. Кроме того, суды учли, что в результате проведения электронного аукциона подана лишь одна заявка на участие от одного потенциального подрядчика, с которым и заключен государственный контракт на сумму 500 000 рублей Доводы кассационной жалобы не свидетельствуют о неправильном применении судами норм материального и процессуального права, повлиявшем на исход дела,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