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28.08.2021, оставленным без изменения постановлением 2 Тринадцатого арбитражного апелляционного суда от 14.12.2021 и постановлением Арбитражного суда Северо-Западного округа от 17.02.2022, первоначальные исковые требования удовлетворены, в удовлетворении встречных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компания (производитель) перечислила в пользу общества (разработчик) аванс по спорному договору; договор расторгнут компанией в одностороннем порядке в связи с существенным нарушением обществом обязательств; надлежащих доказательств выполнения обществом работ и передачи их результата компании до расторжения договора не представлено, руководствуясь статьями 160, 330, 395, 450.1, 702, 769, 773, 778, 1102, 1103 Гражданского кодекса Российской Федерации, суды первой и апелляционной инстанций пришли к выводу о наличии оснований для удовлетворения первоначальных исковых требований и отказа в удовлетворении встречного иска.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3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«Московские медицинские препараты»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