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09.09.2021, оставленным без изменения постановлением Девятого арбитражного апелляционного суда от 29.11.2021 и постановлением Арбитражного суда Московского округа от 04.03.2022,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уклонением победителя торгов от заключения контракта заказчик направил проект договора обществу как второму участнику закупки, предложившему лучшие условия исполнения договора. В проекте договора заказчиком отражена цена 39 100 000 рублей 40 копеек, которая рассчитана с учетом 15-процентного снижения от первоначальной (предложенной) цены в соответствии с пунктом 3 постановления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лицами». Полагая действия заказчика по снижению цены контракта неправомерными и приведшими к причинению убытков в виде упущенной выгоды в размере 6 899 999 рублей 60 копеек (разница между предложенной участником аукциона ценой контракта и примененной заказчиком), общество обратилось с иском в арбитражный суд. Оценив представленные в материалы дела доказательства, суды, руководствуясь положениями статей 15, 393 Гражданского кодекса Российской Федерации, разъяснениями, изложенными в пунктах 12, 14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 недоказанности обществом совокупности условий, необходимых для возложения на ответчика обязанности по возмещению убытков. Судебные инстанции указали, что снижение цены контракта произведено заказчиком в полном соответствии с законом и не могло служить причиной возникновения убытков участника закупки. При этом контракт подписан сторонами без возражений, протокол разногласий истцом в адрес ответчика не направлялся, условие о поставке было выполнено поставщиком, а сам контракт исполнен. Доводы, изложенные в кассационной жалобе, повторяют позицию общества по спору, были предметом рассмотрения судом и не подтверждают существенных нарушений норм материального и процессуального права, повлиявших на исход дела. 3 Приведенные доводы выражают несогласие с выводами судов ввиду иной оценки фактических обстоятельств дела и иного применения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«ДиаманД»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