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03.06.2021, оставленным без изменения постановлением Девятого арбитражного апелляционного суда от 13.10.2021 и постановлением Арбитражного суда Московского округа от 21.02.2022, первоначальный иск удовлетворен, в удовлетворении встречных исковых требований отказано. В кассационной жалобе, поданной в Верховный Суд Российской Федерации, институт просит отменить указанные судебные акты, считая, что суды неполно выяснили обстоятельства, имеющие значение для дела, сделали выводы, не соответствующие фактическим обстоятельствам дела.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 и действия сторон по его исполнению, руководствуясь статьями 12, 14, 15, 393, 401, 405, 406, 421 Гражданского кодекса Российской Федерации, суды первой и апелляционной инстанций пришли к выводу о наличии оснований для удовлетворения первоначального иска и отказа в удовлетворении встречных исковых требований, исходя из установленных обстоятельств, свидетельствующих о ненадлежащем выполнении институтом своих обязательств. Суд округа поддержал выводы судов первой и апелляционной инстанций. Доводы кассационной жалобы сводятся к изложению обстоятельств дела, которые были предметом исследования судов, не опровергают выводы судов, не подтверждают существенных нарушений судами норм материального и (или) процессуального права и не являются основанием для передачи жалобы на рассмотрение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«Всероссийский научно-исследовательский институт авиационных материалов» Национального исследовательского центра «Курчатовский институт»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