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инспекцией проведена выездная налоговая проверка общества по вопросу правильности исчисления и своевременности уплаты (удержания, перечисления) налогов и сборов за период с 01.01.2014 по 31.12.2016, по результатам составлен акт от 21.11.2018 № 16-11/13 и вынесено решение от 19.09.2019 № 16-09/9 (в редакции решения от 06.12.2019 о внесении изменений). Данным решением общество привлечено к ответственности за совершение налогового правонарушения по пункту 1 статьи 119, пункту 3 статьи 122 Налогового кодекса Российской Федерации (далее – Налоговый 2 кодекс) в виде штрафов в сумме 2 385 034 рубля (с учетом уменьшения ввиду наличия смягчающих ответственность обстоятельств), а также доначислены 25 313 821 рубль налогов и 8 257 354 рубля 27 копеек пеней. Основанием для начисления налогов, пеней и штрафов послужил вывод налогового органа о создании схемы уклонения от налогообложения посредством создания искусственных условий для применения специального налогового режима в виде упрощенной системы налогообложения путем формального привлечения взаимозависимых индивидуальных предпринимателей к операциям по реализации прав на объекты строительства. Считая решение инспекции незаконным, общество обратилось в арбитражный суд. Решением Арбитражного суда Республики Коми от 07.02.2021, оставленным без изменения постановлением Второго арбитражного апелляционного суда от 22.07.2021 и постановлением Арбитражного суда Волго-Вятского округа от 21.12.2021,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Признавая решение инспекции законным, суды трех инстанций, оценив представленные в материалы дела доказательства, руководствуясь положениями статей 23, 54.1, 105.1, 146, 153, 154, 247 – 249, 270, 271, 346.11 - 346.15 Налогового кодекса, статьи 4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налогоплательщиком схемы ухода от налогообложения, при которой фактически деятельность по реализации прав на объекты строительства являлась деятельностью общества, а заключение договоров долевого участия с предпринимателями производилось с целью регулирования полученных доходов. 3 Суды отметили, что общество являлось организацией одной группы взаимозависимых и аффилированных лиц, которыми проводилась согласованная политика при строительстве объектов недвижимости, предоставлении в аренду транспортных средств, приобретении земельных участков для строительства. Доводы кассационной жалобы относительно неверной квалификации взаимоотношений общества и предпринимателей в качестве направленных на уход от налогообложения, неправомерного включения в состав доходов общества денежных средств, полученных предпринимателями от реализации прав на объекты строительства реальным (конечным) дольщикам, а также наличия правовых оснований для применения упрощенной системы налогообложения в 1-3 кварталах 2016 года, являлись предметом рассмотрения судов и получили надлежащую правовую оценку с учетом установленных обстоятельств спора. Вместе с тем суды отклонили доводы заявителя о необходимости проведения «налоговой реконструкции» хозяйственных операций при применении статьи 54.1 Налогового кодекса, посчитав, что размер недоимки налоговым органом определен правильно. В кассационной жалобе общество отмечает, что начисление налоговых обязательств по общей системе налогообложения без учета налогов, исчисленных и уплаченных каждым предпринимателем за спорные налоговые периоды, по которым объединены их доходы, является неправомерным. Непринятие инспекцией данных сведений при определении размера недоимки может привести к произвольному завышению сумм налогов, пени и штрафов, начисленных по результатам проверки. Доводы заявителя в указанной части заслуживают внимания,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«ОптимаСтрой»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