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14.07.2021, оставленным без изменения постановлением Четырнадцатого арбитражного апелляционного суда от 10.11.2021 и постановлением Арбитражного суда Северо-Западного округа от 16.02.2022, исковое заявление общества удовлетворено частично, с учреждения взыскано 1 038 рублей 93 копейки 2 неустойки за просрочку оплаты выполненных работ за период с 28.11.2020 по 02.12.2020. В удовлетворении остальной части исковых требований отказано. Во встречном иске учреждения к обществу отказано. В кассационной жалобе, поданной в Верховный Суд Российской Федерации, ООО «Реставрация», ссылаясь на существенное нарушение норм права, просит отменить судебные акты.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(подрядчик) заключен государственный контракт на выполнение работ по капитальному ремонту объекта культурного наследия «Жилой дом (дом Юшина)». Цена контракта составила 1 789 402 рубля 80 копеек. По результатам выполнения работ общество направило учреждению акты выполненных работ на общую сумму 2 111 959 рублей 44 копейки с учетом проведения дополнительных работ. Работы приняты и оплачены учреждением в сумме, установленной контрактом. Неисполнение учреждением требования об оплате дополнительных работ и неустойки, предусмотренной контрактом, послужило основанием для обращения общества в арбитражный суд. В процессе производства по делу учреждением предъявлен встречный иск о взыскании неустойки за ненадлежащее исполнение обязательств по контракту. Рассматривая спор, суд первой инстанции,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пришел к выводу об отсутствии оснований для взыскания с учреждения стоимости дополнительных работ, взыскав с учреждения 1 038 рублей 93 копейки неустойки за просрочку оплаты выполненных работ за период с 28.11.2020 по 02.12.2020. Суд первой инстанции исходил из недоказанности обществом необходимости проведения спорных работ, их безотлагательного характера либо выполнения в целях предотвращения большего ущерба. Доказательств достижения сторонами соглашения об изменении объемов работ, согласования выполнения дополнительных работ обществом не представлено. Суды апелляционной инстанции и округа поддержали выводы суда первой инстанции. Доводы общества, изложенные в кассационной жалобе, в том числе ссылки на судебные акты по иным делам, являлись предметом рассмотрения судов и получили надлежащую правовую оценку, не подтверждают существенных нарушений норм материального и процессуального права, повлиявших на исход дела. 3 Приведенные доводы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«Реставрация»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