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02.09.2021, оставленным без изменения постановлениями Седьмого арбитражного апелляционного суда от 25.11.2021 и Арбитражного суда Западно-Сибирского округа от 03.03.2022, в удовлетворении иска отказано. В кассационной жалобе, поданной в Верховный Суд Российской Федерации, управление ставит вопрос об отмене принятых по делу судебных актов, ссылаясь на существенное нарушение судами норм материального права.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проверки в отношении общества по использованию средств, предоставленных из 2 федерального бюджета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управлением выдано предписание с требованием принять меры по восстановлению на счете по учету средств Гарантийного фонда 168 292 288 рублей. Кроме того, управлением вынесено представление об устранении причин и условий, способствовавших совершению административного правонарушения. Неисполнение предписания и представления послужило основанием обращения управления в арбитражный суд с настоящим иском со ссылкой на положения пункта 4 статьи 270.2 Бюджетного кодекса Российской Федерации (далее Бюджетный кодекс). Оценив представленные в материалы дела доказательства, суды, руководствуясь положениями статей 265, 268, 269.2, 270.2 Бюджетного кодекса, Правилами осуществления Федеральным казначейством полномочий по контролю в финансово-бюджетной сфере, утвержденными постановлением Правительства Российской Федерации от 28.11.2013 № 1092, пришли к выводу об отсутствии оснований для удовлетворения иска. Судебные инстанции исходили из того, что в случае неисполнения предписания управление вправе обратиться в суд с иском о возмещении ущерба, поскольку Бюджетным кодексом предусмотрен только один способ понуждения к исполнению предписания – обращение с иском о взыскании убытков, причиненных Российской Федерации. Кроме того, суды приняли во внимание, что правоотношения по субсидированию деятельности Гарантийного фонда прекратились с момента возврата финансовым органом субъекта Российской Федерации денежных средств в федеральный бюджет; требование о взыскании с общества причиненных субъекту Российской Федерации убытков включено в реестр требований кредиторов общества. По существу доводы жалобы не свидетельствуют о существенных нарушениях норм материального и процессуального права, которые повлияли на исход дела, основаны на ином толковании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Республике Алтай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