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27.08.2021, оставленным без изменения постановлением Третьего арбитражного апелляционного суда от 18.10.2021 и постановлением Арбитражного суда Восточно-Сибирского округа от 03.03.2022, в удовлетворении иска отказано. В кассационной жалобе, поданной в Верховный Суд Российской Федерации, учреждение, ссылаясь на существенное нарушение судами норм права, просит отменить судебные акты и удовлетворить исковое требование. При изучении доводов кассационной жалобы и принятых по делу судебных актов не установлено оснований, по которым жалоба может быть 2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(подрядчик) заключен муниципальный контракт на выполнение работ по объекту «Строительство улицы между III и V микрорайонами жилого района «Солнечный» в городе Красноярске. После приемки работ в процессе эксплуатации объекта заказчиком выявлены недостатки выполненных работ, а именно отсутствие газона на откосах обочин вдоль дороги, что послужило основанием для обращения учреждения в суд с требованием безвозмездно устранить выявленные недостатки выполненных работ. Вступившим в законную силу решением Арбитражного суда Красноярского края от 28.10.2019 по делу № А33-6759/2019 исковое требование удовлетворено. В связи с ненадлежащим исполнением подрядчиком предусмотренных контрактом работ, учреждением начислен штраф за неисполнение обязательств и в адрес общества выставлена соответствующая претензия. Оставление претензии без удовлетворения послужило основанием для обращения учреждения с настоящим иском в арбитражный суд. Оценив представленные в материалы дела доказательства, суды, руководствуясь положениями статей 329, 431, 702, 721, 723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принимая во внимание обстоятельства, установленные вступившими в законную силу судебными актами по делу № А33-6759/2019, пришли к выводу об отсутствии оснований для взыскания с общества штрафа за нарушение сроков исполнения обязательств. Судебные инстанции исходили из доказанности факта выполнения обществом спорных работ в полном объеме, в соответствии с нормативными требованиями и условиями муниципального контракта, а также в установленный контрактом срок, что следует из подписанных учреждением акта гарантийного осмотра и акта выполненных работ по форме КС-2. При этом учитывая специфику работ, результат которых во многом зависит не только от подрядчика, но и может быть обусловлен иными обстоятельствами (погодными явлениями, использованием газона третьими лицами, условиями его содержания газона), принимая во внимание доказанность невсхожести отдельных участков газона и повторного засева в целях устранения выявленных в течение гарантийного срока недостатков, суды трех инстанций признали заявленное требование фактически требованием о привлечении подрядчика к ответственности за просрочку исполнения обязательства по устранению недостатков в пределах предусмотренного контрактом гарантийного срока. Вместе с тем, исходя из буквального толкования условий контракта, стороны разделили ответственность по видам нарушений и согласовали, что штрафы начисляются за ненадлежащее исполнение подрядчиком обязательств, 3 предусмотренных контрактом, за исключением просрочки исполнения обязательств. Поскольку частью 5 статьи 34 Закона о контрактной системе взыскание штрафа за просрочку исполнения обязательств также не предусмотрено, суды не усмотрели оснований для возложения на общество обязанности по уплате штрафа за нарушение сроков исполнения обязательств. Доводы, изложенные в кассационной жалобе, были предметом рассмотрения судов и не опровергают их выводы, послужившие основанием для принятия судебных актов. Несогласие учреждения с выводами судов ввиду иной оценки фактических обстоятельств дела и иного применения к ним положений закона,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города Красноярска «Управление капитального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