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Удмуртской Республики от 08.06.2021 исковые требования удовлетворены. Постановлением Семнадцатого арбитражного апелляционного суда от 14.10.2021 решение суда первой инстанции изменено, с компании в пользу общества взыскано 39 296 руб. 24 коп. неустойки, в удовлетворении остальной части исковых требований отказано. Постановлением Арбитражного суда Уральского округа от 01.03.2022 постановление суда апелляционной инстанции оставлено без изменения. В кассационной жалобе, поданной в Верховный Суд Российской Федерации, общество, ссылаясь на нарушение судами апелляционной 2 инстанции и округа норм права, просит отменить их постановления и оставить в силе решение суда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обжалуемых судебных актов и доводов кассационной жалобы не установлено. Изменяя решение суда первой инстанции и отказывая в удовлетворении иска в части взыскания задолженности, суд апелляционной инстанции, исследовав и оценив по правилам статьи 71 Арбитражного процессуального кодекса Российской Федерации представленные в материалы дела доказательства, проанализировав условия договора подряда от 12.05.2020 № 26/СП-20, установив, что у общества (подрядчик) имелась задолженность перед компанией (заказчик) за строительные материалы, используемые подрядчиком при выполнении работ по договору, сославшись на наличие которой заказчик уведомил подрядчика о зачете встречных однородных требований, руководствуясь статьями 407, 410 Гражданского кодекса Российской Федерации, разъяснениями, изложенными в постановлении Пленума Верховного Суда Российской Федерации от 11.06.2020 № 6 «О некоторых вопросах применения положений Гражданского кодекса Российской Федерации о прекращении обязательств, пришел к выводу о том, что обязательство компании по оплате спорных работ прекращено зачетом. Размер подлежащей взысканию неустойки определен судом с учетом периода просрочки по оплате спорных работ, исчисленного с момента, в который обязательства стали способными к зачету. Суд округа поддержал выводы суда апелляционной инстанции. Доводы кассационной жалобы не опровергают выводы судов апелляционной инстанции и округа, не подтверждают существенных нарушений судами норм материального и процессуального права, повлиявших на исход дела, и не являются достаточным основанием для пересмотра обжалуемых судебных актов в кассационном порядке. По существу 3 они направлены на переоценку установленных фактических обстоятельств, что не входит в полномочия суда при кассационном производстве.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«СК-Сервис»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