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18.06.2021 исковые требования удовлетворены. Постановлением Восемнадцатого арбитражного апелляционного суда от 07.10.2021 решение суда первой инстанции изменено, с общества в пользу предпринимателя взыскан ущерб в размере 162 422 руб. 40 коп., расходы по определению стоимости восстановительного ремонта в размере 10 000 руб., расходы по оплате услуг представителя в размере 2 4400 руб., расходы по оплате государственной пошлины в размере 3909 руб., в удовлетворении остальной части исковых требований отказано. Постановлением Арбитражного суда Уральского округа от 15.02.2022 постановление суда апелляционной инстанции оставлено без изменения. В кассационной жалобе, поданной в Верховный Суд Российской Федерации, предприниматель, ссылаясь на нарушение судами апелляционной инстанции и округа норм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Изменяя решение суда первой инстанции и отказывая в удовлетворении искового требования о взыскании упущенной выгоды, возникшей в связи с невозможностью сдать в аренду нежилое помещение, суд апелляционной инстанции, исследовав и оценив представленные в материалы дела доказательства по правилам статьи 71 Арбитражного процессуального кодекса Российской Федерации, установив отсутствие доказательств, свидетельствующих о принятии предпринимателем каких-либо активных мер для сдачи спорного помещения в аренду и извлечения прибыли, а также о наличии возможности реального получения доходов посредством передачи помещения в аренду третьим лицам, руководствуясь статьями 15, 393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пришел к выводу о недоказанности предпринимателем совокупности условий, необходимых для взыскания с общества соответствующих убытков. Суд округа согласился с выводами суда апелляционной инстанции. Доводы кассационной жалобы не опровергают выводы судов апелляционной инстанции и округа,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3 291.8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Кальникова Владимира Васильевича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