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16.09.2021 в удовлетворении исковых требований отказано. Постановлением Восемнадцатого арбитражного апелляционного суда от 13.12.2021 решение суда первой инстанции отменено, исковые требования удовлетворены. Постановлением Арбитражного суда Уральского округа от 31.03.2022 постановление суда апелляционной инстанции оставлено без изменения. В кассационной жалобе, поданной в Верховный Суд Российской Федерации, общество просит отменить постановления апелляционного и окружного судов как незаконные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экспертное заключение, установив факт выполнения обществом (подрядчик) работ по спорному договору с недостатками; данные недостатки выявлены предприятием (заказчик) в пределах гарантийного срока, о чем подрядчик был уведомлен; доказательств принятия подрядчиком мер по устранению выявленных недостатков, как и доказательств отсутствия его вины в проявлении этих недостатков не представлено, признав подтвержденным размер понесенных предприятием убытков, руководствуясь статьями 12, 15, 393, 309, 310, 702, 720, 721, 722, 723, 724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пришел к выводу о наличии оснований для удовлетворения исковых требований. Суд округа поддержал выводы суда апелляционной инстанции.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«АЛРУ»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