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14.09.2021, оставленным без изменения постановлением Девятого арбитражного апелляционного суда от 30.11.2021 и постановлением Арбитражного суда Московского округа от 04.03.2022, в удовлетворении искового заявления отказано. В кассационной жалобе, поданной в Верховный Суд Российской Федерации, ООО «ДиаманД», ссылаясь на существенное нарушение норм права, просит отменить судебные акты.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Как следует из судебных актов, по результатам электронного аукциона от 19.04.2019 № 31907662957 на право заключения договора поставки механизированных парковочных систем для завершения строительства объектов незавершенного строительства победителем торгов признано ООО «Сивер Инжиниринг», которое предложило наиболее низкую цену договора в размере 32 000 000 рублей, в том числе НДС. Победитель торгов ООО «Сивер Инжиниринг» 09.07.2019 признан уклонившимся от заключения контракта на поставку товаров. Вторым участником закупки, предложившим лучшие условия исполнения договора - 32 900 000 рублей, в том числе НДС, признано ООО «ДиаманД». АО «Мосотделстрой № 1» (заказчик) 09.07.2019 направило ООО «ДиаманД» проект договора поставки № МОС-98/2019/Ц с указанием цены 27 965 000 рублей 76 копеек, в том числе НДС 20 процентов - 4 660 833 рубля 46 копеек в соответствии со спецификацией. При этом цена договора указана с учетом 15% снижения от первоначальной (предложенной) цены в соответствии с пунктом 3 Постановления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лицами». Проект контракта подписан ООО «ДиаманД» без возражений. Указывая, что действия заказчика по снижению цены контракта являются неправомерными и в результате данных действий исполнителю причинены убытки в виде упущенной выгоды в размере 4 934 999 рублей 24 копеек, ООО «ДиаманД» обратилось в арбитражный суд. Отказывая в удовлетворении искового требования,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того, что снижение цены контракта не является убытками истца и не обусловлено действиями ответчика, с чем согласились суды апелляционной инстанции и округа. Судебные инстанции отметили, что состоявшиеся торги истцом не оспорены, не признаны недействительными в установленном законом порядке. При этом соответствие аукционной документации требованиям действующего законодательства не оспаривалось, обращений со стороны истца в антимонопольный орган о допущенных нарушениях заказчиком при 3 проведении аукциона не поступало. Контракт подписан сторонами без возражений, протокол разногласий заказчику не направлялся.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«ДиаманД»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