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07.09.2021, оставленным без изменения постановлениями Девятого арбитражного апелляционного суда от 30.11.2021 и Арбитражного суда Московского округа от 04.03.2022, в удовлетворении иска отказано. В кассационной жалобе, поданной в Верховный Суд Российской Федерации, ООО «ДиаманД» ставит вопрос об отмене принятых по делу судебных актов, ссылаясь на существенное нарушение судами норм права.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2 Как усматривается из судебных актов, в связи с признанием победителя электронного аукциона на право заключения договора поставки механизированных парковочных систем для завершения строительства объектов незавершенного строительства уклонившимся от заключения контракта, АО «Мосотделстрой № 1» (заказчик) в адрес ООО «ДиаманД» направлен проект договора поставки с указанием цены, сниженной на 15 % в соответствии с пунктом 3 постановления Правительства Российской Федерации от 16.09.2016 № 925 «О приоритете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лицами». Проект контракта подписан ООО «ДиаманД» без возражений. Ссылаясь на то, что действия заказчика по снижению цены контракта являются неправомерными, и в результате данных действий исполнителю причинены убытки в виде упущенной выгоды, ООО «ДиаманД» обратилось в арбитражный суд. Исследовав и оценив представленные в материалы дела доказательства, руководствуясь положениями статей 15, 393 Гражданского кодекса Российской Федерации, Федерального закона от 18.07.2011 № 223-ФЗ «О закупках товаров, работ, услуг отдельными видами юридических лиц», правовой позицией Пленума Верховного Суда Российской Федерации, изложенной в пунктах 12, 14 постановления от 23.06.2015 № 25 «О применении судами некоторых положений раздела I части первой Гражданского кодекса Российской Федерации», суды пришли к выводу об отсутствии оснований для удовлетворения иска. Судебные инстанции исходили из того, что снижение цены контракта не является убытками истца и не обусловлено действиями ответчика. При исследовании обстоятельств дела установлено, что состоявшиеся торги ООО «ДиаманД» не оспорены, не признаны недействительными в установленном законом порядке; соответствие аукционной документации требованиям действующего законодательства не оспаривалось; заявитель не обращался в антимонопольный орган с заявлением об оспаривании действий заказчика при проведении аукциона; контракт подписан сторонами без возражений, протокол разногласий заказчику не направлялся.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3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«ДиаманД»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