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20.06.2021, оставленным без изменения постановлениями Тринадцатого арбитражного апелляционного суда от 29.10.2021 и Арбитражного суда Северо-Западного округа от 22.02.2022, заявленное требование удовлетворено. В кассационной жалобе, поданной в Верховный Суд Российской Федерации, комитет ставит вопрос об отмене принятых по делу судебных актов, ссылаясь на существенное нарушение судами норм права. 2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контракт на выполнение работ по реконструкции здания государственного бюджетного общеобразовательного учреждения центра образования № 167 Красносельского района Санкт-Петербурга для размещения дошкольного отделения. Заказчик, ссылаясь на непредставление подрядчиком актов освидетельствования внутриплощадочной сети водоснабжения и водомерного узла, подписанных уполномоченными лицами, а также отсутствие на объекте части технологического оборудования, принял решение об одностороннем отказе от контракта. Полагая, что односторонний отказ учреждения от контракта является незаконным,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статей 307, 309, 310, 450, 450.1, 708, 723, 763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иска. Судебные инстанции исходили из того, что реконструкция объекта выполнена в полном соответствии с разрешением на строительство, проектной документацией и нормативными техническими документами. При исследовании обстоятельств дела установлено, что стороны подписали акт приемки объекта капитального строительства; уполномоченным органом выданы разрешение на ввод объекта в эксплуатацию и заключение о соответствии объекта требованиям энергетической эффективности и оснащенности приборами учета используемых энергетических ресурсов; объект передан государственному бюджетному общеобразовательному учреждению «Центр образования № 167 Красносельского района Санкт-Петербурга» в безвозмездное срочное пользование в целях его эксплуатации, содержания и обслуживания, включая обеспечение тепловой энергией, водоснабжением, электроэнергией и охраной, за счет средств бюджета Санкт-Петербурга. Суды указали, что с учетом установленных по делу обстоятельств наличие недостатков в выполненных работах не является основанием для отказа от исполнения контракта, при этом ввод объекта в эксплуатацию не исключает ответственность подрядчика за недостатки выполненных работ и его обязанность по их устранению. Несогласие заявителя с выводами судов, иная оценка им фактических обстоятельств дела не означают допущенной при рассмотрении дела судебной ошибки и не могут служить основанием для пересмотра судебных актов в 3 судебном заседании Судебной коллегии Верховного Суда Российской Федерации.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