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обществом до принятия судом первой инстанции решения заявлено об отказе от иска в связи с погашением учреждением в добровольном порядке задолженности в сумме 703 320 рублей. Определением суда первой инстанции от 16.09.2021 производство по делу прекращено на основании пункта 4 части 1 статьи 150 Арбитражного 2 процессуального кодекса Российской Федерации в связи с отказом истца от иска. С учреждения в пользу общества взыскано 16 994 рубля государственной пошлины; из федерального бюджета истцу возвращена государственная пошлина в размере 296 рублей 10 копеек. Постановлением Первого арбитражного апелляционного суда от 30.11.2021 определение суда первой инстанции от 16.09.2021 оставлено без изменения. Арбитражный суд Волго-Вятского округа постановлением от 22.03.2022 оставил без изменения определение суда первой инстанции от 16.09.2021 и постановление суда апелляционной инстанции от 30.11.2021. В кассационной жалобе, поданной в Верховный Суд Российской Федерации, учреждение ставит вопрос об отмене принятых по делу судебных актов в части взыскания с ответчика расходов по оплате государственной пошлины,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Распределяя судебные расходы по оплате государственной пошлины при прекращении производства по делу, суд первой инстанции руководствовался статьями 49, 101, 110, 150 Арбитражного процессуального кодекса Российской Федерации, подпунктом 3 пункта 1 статьи 333.40 Налогового кодекса Российской Федерации, разъяснениями, изложенными в пунктах 11, 21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пункте 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исходил из того, что судебные расходы по уплате государственной пошлины подлежат отнесению на 3 ответчика, поскольку он произвел погашение задолженности перед истцом после обращения последнего в суд за защитой нарушенного права. Суды апелляционной инстанции и округа поддержали выводы суда первой инстанции. Ссылка заявителя на необоснованное возложение на него как на государственный орган обязанности по уплате государственной пошлины является несостоятельной, поскольку судом в рассматриваемом случае распределены судебные расходы. Освобождение государственных органов от уплаты государственной пошлины на основании положений Налогового кодекса Российской Федерации не влечет их освобождение от исполнения обязанности по возмещению судебных расходов, понесенных стороной, в пользу которой принято решение, в соответствии со статьей 110 Арбитражного процессуального кодекса Российской Федерации.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9 Главного Управления Федеральной службы исполнения наказаний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