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30.08.2021, оставленным без изменения постановлением Второго арбитражного апелляционного суда от 12.10.2021 и постановлением Арбитражного суда Волго-Вятского округа от 16.02.2022, иск удовлетворен.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Ярославской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оказания компанией (региональный оператор) и принятия обществом (потребитель) услуг по обращению с твердыми коммунальными отходами в спорный период и отсутствие доказательств их оплаты, руководствуясь статьями 309, 310, 329, 330, 779, 781 Гражданского кодекса Российской Федерации, статьями 44, 46, 157.2 Жилищного кодекса Российской Федерации, суды первой и апелляционной инстанций пришли к выводу о наличии оснований для удовлетворения иска.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«Доверие»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