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Правительство Москвы (далее – Правительство) обратилось в Арбитражный суд города Москвы с иском к Министерству обороны Российской Федерации (далее – Министерство) об обязании подписать акт о результатах реализации инвестиционного проекта по инвестиционному контракту от 23.07.2004 № ДЖП.04.ЗАО.00608 в редакции истца; о взыскании 205 422 849 рублей 86 копеек. К участию в деле в качестве третьего лица, не заявляющего самостоятельных требований относительно предмета спора, привлечен Департамент городского имущества города Москвы (далее – Департамент). Решением Арбитражного суда города Москвы от 31.08.2021, оставленным без изменения постановлением Девятого арбитражного апелляционного суда от 24.11.2021 и постановлением Арбитражного суда Московского округа от 05.03.2022, суд обязал Министерство подписать акт о результатах реализации инвестиционного проекта по инвестиционному контракту от 23.07.2004 N ДЖП.04.ЗАО.00608 в редакции истца; в остальной части в удовлетворении иска отказано. В кассационной жалобе, поданной в Верховный Суд Российской Федерации, заявитель просит отменить состоявшиеся судебные акты в части удовлетворения 2 требований, ссылаясь на существенное нарушение судами норм материального и процессуального права. В обоснование доводов жалобы заявитель указывает, что судебные акты приняты о правах и обязанностях КЭУ г. Москвы, не привлеченного к участию в деле; Министерство не является стороной сделки, на основании которой истец основывает свои требования; судами не дана оценка заключенности и действительности инвестиционного контракта; судами неправомерно отказано в применении срока исковой давности.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между Правительством (администрация) и Министерством (заказчик) заключен инвестиционный контракт от 23.07.2004 № ДЖП.04.ЗАО.00608 в редакции дополнительных соглашений, предметом которого является реализация инвестиционного проекта по комплексной застройке микрорайона Никулино-2 (II этап строительства) с ориентировочным объемом инвестиций 1473 млн. рублей. Согласно п. 1.6 контракта строительной площадкой является земельный участок с расположенными на нем строениями, предоставляемый инвестору в краткосрочное возмездное пользование на период строительства для ведения строительных работ. В соответствии с п. 5.2.1 контракта заказчик обязуется за счет средств федерального бюджета, а также заемных и/или привлеченных средств обеспечить финансирование и реализацию инвестиционного проекта в полном объеме в соответствии со своими обязательствами по контракту и сдачу объекта приемочной комиссии по приемке объектов в эксплуатацию. Согласно п. 3.1 контракта соотношение раздела недвижимого имущества по итогам реализации контракта устанавливается между сторонами в следующем соотношении: - не менее 2,25% общей жилой площади, что составляет 5% от доли, финансируемой и получаемой привлеченными соинвесторами, в собственность администрации для переселения жителей пятиэтажного и ветхого жилищного фонда Западного административного округа; - 97,75% общей жилой площади вводимого жилья в собственность заказчика и привлеченных им соинвесторов в соответствии с заключенными договорами; 3 - в случае увеличения доли привлеченных соинвесторов пропорционально увеличивается доля жилой площади, получаемая администрацией и уменьшается доля жилой площади, получаемая заказчиком для обеспечения доли администрации в объеме 5% от доли, финансируемой и получаемой привлеченными соинвесторами. (п. 3.1.1 договора). В соответствии с п. 3.1.2 контракта общая нежилая площадь объектов распределяется: - 35% общей нежилой площади, исключая площади помещений, неразрывно связанных с системами жизнеобеспечения жилой части объекта (лестничные клетки, лифтовые шахты, технические этажи, техподполья, электрощитовые) в собственность администрации в лице Департамента городского имущества города Москвы для использования по предложению префектуры Западного административного округа; - 65% общей нежилой площади помещений, исключая площади помещений, неразрывно связанных с системами жизнеобеспечения жилой части объекта (лестничные клетки, лифтовые шахты, технические этажи, техподполья, электрощитовые), в собственность заказчика и привлеченных им соинвесторов в соответствии с заключенными договорами. Согласно п. 3.1.3 контракта общая площадь гаражей: - 10% машино-мест и площади общего пользования гаражей безвозмездно в собственность администрации в лице Департамента городского имущества города Москвы; - 90% машино-мест и площади общего пользования гаража-стоянки, также 100% площади помещений сервисных служб, согласно МГСН 5.01-01 «Стоянки легковых автомобилей» в собственность заказчика и привлеченных им соинвесторов в соответствии с заключенными договорами. В соответствии с п. 3.2 контракта все построенные или реконструированные в рамках настоящего контракта объекты инженерного и коммунального назначения по результатам реализации проекта оформляются в государственную собственность города Москвы в лице Департамента в порядке, утвержденном постановлением Правительства Москвы от 22.08.2000 № 660. Пунктом 1 дополнительного соглашения № 3 согласована передача заказчиком администрации из своей доли 323,5 кв. м общей нежилой площади в качестве компенсации задолженности в соответствии с п. 4 акта о результатах реализации договора о сотрудничестве от 22.11.1996 № 779. С учетом актов о частичной реализации от 19.06.2006, от 15.05.2008 и указанного дополнительного соглашения, задолженность заказчика перед администрацией по полезной площади нежилых помещений составляет 953,68 кв. м. Жилые дома по адресам мкр. Никулино-2, корп. 6А (почтовый адрес: г. Москва, ул. Академика Анохина, д. 58, корп. 2); мкр. Никулино-2, корп. 7 (почтовый адрес: г. Москва, ул. Академика Анохина, д. 60); мкр. Никулино-2, ул. Академика Анохина, корп. 11А (почтовый адрес: г. Москва, ул. Академика Анохина, д. 66) введены в эксплуатацию. Технические характеристики объектов определены по результатам обмеров БТИ в соответствии с документами технического учета. 4 Жилая площадь домов, в том числе, оформлена актами о результатах частичной реализации. Согласно постановлению Правительства Москвы от 28.12.2005 № 1089-ПП, в редакции постановления Правительства Москвы от 04.06.2014 № 305-ПП, полномочиями по подготовке и направлению проектов актов о результатах реализации инвестиционных проектов наделен Департамент. Письмом от 12.01.2021 № ДГИ-И-455/21, Департаментом направлен в адрес Министерства акт о результатах реализации в приложенной к исковому заявлению редакции, от подписания которого ответчик отказался (письмо от 11.02.2021 № 141/4599). Ссылаясь на указанные обстоятельства, Правительство обратилось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252, 309, 431, 1043 Гражданского кодекса Российской Федерации, статьей 8 Федерального закона от 25.02.1999 № 39-ФЗ «Об инвестиционной деятельности в Российской Федерации, осуществляемой в форме капитальных вложений», разъяснениями, изложенными в пунктах 4, 7 постановления Пленума Высшего Арбитражного Суда Российской Федерации от 11.07.2011 № 54 «О некоторых вопросах разрешения споров, возникающих из договоров по поводу недвижимости, которая будет создана или приобретена в будущем», суды удовлетворили требования в оспариваемой части, обоснованно исходя из того, что составление акта о результатах реализации инвестиционного договора является обязанностью сторон, неисполнение которой влечет невозможность регистрации участниками инвестиционных отношений права собственности на инвестиционный объект. Представленный истцом вариант акта о результатах реализации выполнен в соответствии с ранее подписанными актами о результатах частичной реализации, документами технического учета, условиями инвестиционного контракта с учетом стоимости объектов, раздел которых невозможен по причине их отчуждения иным лицам, определенной по результатам проведения оценки стоимости. Отклоняя заявление Министерства о применении срока исковой давности, суды руководствовались статьями 191,192,196,200 Гражданского кодекса Российской Федерации и исходили из того, что в соответствии с пунктами 3.7,7.1 контракта контракт действует в течение срока реализации инвестиционного проекта, указанного в пунктах 2.2,4,7.2-7.3; оформление имущественных прав по результатам реализации инвестиционного проекта с учетом всех дополнительных соглашений производится в установленном порядке после сдачи объекта в эксплуатацию и выполнения обязательств по контракту и приложений к нему на основании актов по результатах реализации инвестиционного проекта согласно условиям контракта. Пунктом 4.3 контракта определено, что окончание последнего этапа (третьего) и контракта в целом завершается оформлением имущественных прав сторон по контракту. Поскольку акт реализации по всем объектам до настоящего времени не подписан, суды пришли к выводу о том, что действие контракта не прекращено на 5 момент обращения в суд, в связи с чем срок исковой давности с учетом условий пунктов 1.12,3.3,3.7,4.3,7.1 контракта не истек. Доводы кассационной жалобы, которые были предметом рассмотрения судов и получили надлежащую правовую оценку,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Министерства обороны Российской Федерации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