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13.03.2020, оставленным без изменения постановлениями судов апелляционной инстанции от 12.08.2020 и округа от 18.11.2020, заявление удовлетворено.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руководствовались положениями статей 61.1, 61.2 Федерального закона от 26.10.2002 № 127-ФЗ «О несостоятельности (банкротстве)» и исходили из того, что оспариваемая сделка направлена на причинение вреда кредиторам должника, так как опосредовала отчуждение имущества из конкурсной массы должника в пользу аффилированного лица при отсутствии равноценного встречного исполнения.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БукинаРоссийской Федерации Суд: Верховный Суд РФ (подробнее) Иные лица: ГУ Управление по вопросам миграции МВД России по Нижегородской области (подробнее) Дзержинский районный суд города Санкт-Петербурга (подробнее) ООО "Мерседес-Бенц Банк Рус" (подробнее) Управление Росреестра по СПб (подробнее) ф/у Бородин Евгений Владимирович (подробнее) Ф/У Варенцова В.В. - Захаров П.В.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