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принятым по результатам повторного рассмотрения спора решением суда первой инстанции от 08.07.2021, оставленным без изменения постановлениями Девятого арбитражного апелляционного суда от 14.09.2021 и Арбитражного суда Московского округа от 28.12.2021, в удовлетворении иска отказано. В кассационной жалобе, поданной в Верховный Суд Российской Федерации, предприятие ставит вопрос об отмене принятых по делу судебных актов, ссылаясь на существенное нарушение судами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судебных актов по материалам истребованного дела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предприятием (заказчик) и разработчиком документации заключен договор на разработку проектной документации реставрации Свято-Николаевского собора в г. Ницце во Французской Республике. Кроме того, предприятием и обществом (исполнитель) заключен договор на выполнение работ по проведению негосударственной экспертизы проектной документации на предмет достоверности определения сметной стоимости ремонта и реставрации Свято-Николаевского собора в г. Ницце во Французской Республике. По результатам внеплановой выездной проверки по вопросу соблюдения условий предоставления и использования средств из федерального бюджета Федеральным казначейством выявлены нарушения предприятием бюджетного законодательства и вынесено предписание от 20.02.2018 № 18-00-04/2789 о необходимости принять меры путем взыскания причиненного выявленными нарушениями ущерба Российской Федерации с подрядчиков. Предприятие, ссылаясь на результаты проверки, указывая, что им произведена излишняя оплата стоимости подрядных работ в связи с ненадлежащим выполнением своих обязательств по договорам, как разработчиком документации, так и исполнителем, обратилось в арбитражный суд с требованием о взыскании убытков в солидарном порядке. Оценив представленные в материалы дела доказательства, суды, руководствуясь положениями статей 15, 196, 199, 200, 203, 322, 307, 393 Гражданского кодекса Российской Федерации, пункта 3 статьи 270.2 Бюджетного кодекса Российской Федерации, правовой позицией Пленума Верховного Суда Российской Федерации, изложенной в пунктах 13, 14 постановления от 23.06.2015 № 25 «О применении судами некоторых положений раздела I части первой Гражданского кодекса Российской Федерации», пункте 15 постановления от 29.09.2015 № 43 «О некоторых вопросах, связанных с применением норм Гражданского кодекса Российской Федерации об исковой давности», пришли к выводу об отсутствии оснований для удовлетворения искового требования. 3 При этом судебные инстанции исходили из недоказанности наличия прямой причинно-следственной связи между действиями (бездействием) ответчиков и убытками в заявленном размере. Суды отметили, что предписание казначейства не может являться безусловным основанием для привлечения ответчиков к ответственности и основанием для взыскания причиненного предприятию ущерба, поскольку им не подтверждается совокупность обстоятельств, влекущих взыскание убытков. Обстоятельства данного спора и представленные доказательства были предметом оценки судов. Ссылка предприятия на определение Судебной коллегии по экономическим спорам Верховного Суда Российской Федерации от 07.09.2021 № 305-ЭС21-5987 не может быть принята во внимание, поскольку данный судебный акт вынесен по иным фактическим обстоятельствам, не соответствующим обстоятельствам настоящего дела. Доводы, изложенные в кассационной жалобе, в том числе о том, что предписание казначейства подтверждает возникновение убытков по вине ответчиков в заявленном размере; об отсутствии пропуска срока исковой давности; о солидарной ответственности ответчиков; о правомерном расчете убытков на основании предложенной методики определения стоимости строительной продукции на территории Российской Федерации, являлись предметом рассмотрения судов и получили надлежащую правовую оценку с учетом установленных обстоятельств и положений гражданского законодательства. Приведенные в жалобе доводы не свидетельствуют о существенных нарушениях судами норм материального и процессуального права, повлиявших на исход дела, выражают несогласие с выводами судов по фактическим обстоятельствам спора, по существу, направлены на их переоценку в связи с чем, не могут служить основанием для пересмотра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государственному унитарному предприятию «Предприятие по управлению собственностью за рубежом» Управления делами Президента Российской Федерации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4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