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«ТрансКонтСервис» обратилось в Арбитражный суд Красноярского края с иском о взыскании с общества с ограниченной ответственностью «ЛесНиК» 37 500 рублей штрафа и 673 004 рублей 40 копеек убытков по договору транспортной экспедиции от 21.01.2019 № 04/01/2019.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«Синтез Центр». Решением Арбитражного суда Красноярского края от 02.08.2021 иск удовлетворен. Постановлением Третьего арбитражного апелляционного суда от 01.12.2021 решение суда первой инстанции оставлено без изменения. Арбитражный суд Восточно-Сибирского округа постановлением от 02.03.2022 указанные судебные акты оставил без изменения. 2 Общество с ограниченной ответственностью «ЛесНиК»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допущенного ответчиком сверхнормативного простоя спорных вагонов, руководствуясь положениями статей 309, 310, 329, 410, 431, 801 Гражданского кодекса Российской Федерации, суды пришли к выводу об обоснованности иска. Доводы, изложенные в кассационной жалобе,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«ЛесНиК»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