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«Гостиница Звезда» обратилось в Арбитражный суд Тюменской области с иском о взыскании с общества с ограниченной ответственностью «Реском-Тюмень» 925 000 рублей задолженности по договору от 10.06.2020 и 24 109 рублей неустойки за просрочку исполнения обязательства по оплате.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Пфайфле Альберт Георгиевич. Решением Арбитражного суда Тюменской области от 13.10.2021 в удовлетворении иска отказано. Постановлением Восьмого арбитражного апелляционного суда от 27.01.2022 решение суда первой инстанции оставлено без изменения. Арбитражный суд Западно-Сибирского округа постановлением от 15.04.2022 указанные судебные акты оставил без изменения. 2 Общество с ограниченной ответственностью «Гостиница Звезда»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недоказанным факт оказания истцом услуг обсерватора на заявленную к взысканию сумму и установив факт оказания спорных услуг ответчику третьим лицом, руководствуясь положениями статей 309, 310, 779, 781 Гражданского кодекса Российской Федерации, суды пришли к выводу об отсутствии оснований для удовлетворения иска.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«Гостиница Звезда»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