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10.06.2021, оставленным без изменения постановлением Тринадцатого арбитражного апелляционного суда от 27.09.2021 и постановлением Арбитражного суда Северо-Западного округа от 17.02.2022, в удовлетворении иска отказано. В кассационной жалобе общество «Бетолайн» просит об отмене судебных актов, ссылаясь на препятствование в реализации права на доказывание и нарушения в оценке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происшествия суды признали не создающими условий, необходимых в силу статей 15, 1064 Гражданского кодекса Российской Федерации для требуемого истцом возложения на ответчика обязанности по возмещению вреда.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«Бетолайн»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