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Пермского края от 03.10.2019 отказано в удовлетворении ходатайства об истребовании документов; у Щурко С.М. истребованы транспортные средства: КАМАЗ 65007-№ 3 и ВАЗ-219110. Впоследствии конкурсный управляющий должником Русаков Дмитрий Сергеевич обратился в суд с заявлением об изменении способа исполнения определения суда первой инстанции от 03.10.2019 об истребовании транспортных средств у Щурко С.М. на взыскание с последнего денежных средств в размере 2 427 800 рублей. Определением Арбитражного суда Пермского края от 11.06.2021, оставленным без изменения постановлениями Семнадцатого арбитражного апелляционного суда от 15.09.2021 и Арбитражного суда Уральского округа от 31.01.2022, частично удовлетворено заявление об изменении способа исполнения судебно акта, с Щурко С.М. в пользу должника взыскано 2 302 000 рублей. В кассационной жалобе, поданной в Верховный Суд Российской Федерации, заявитель просит отменить указанные судебные акты и направить 2 обособленный спор на новое рассмотрение в Арбитражный суд Пермского края. Письмом Верховного Суда Российской Федерации от 19.04.2022 материалы дела № А50-16151/2017, касающиеся данного спора, были истребованы в Арбитражном суде Пермского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вопрос, суды, руководствуясь положениями статьи 324 Арбитражного процессуального кодекса Российской Федерации, статьи 37 Федерального закона от 02.10.2007 № 229-ФЗ «Об исполнительном производстве», исходили из обоснованности оспариваемого заявления конкурсного управляющего и наличия оснований для изменения способа исполнения судебного акта на взыскание денежных средств в указанном размере. Содержание жалобы, по сути, сводится к несогласию с оценкой имущества, размером взыскиваемых денежных средств и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Щурко Сергею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