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10.09.2021, оставленным без изменения постановлением Десятого арбитражного апелляционного суда от 28.10.2021 и постановлением Арбитражного суда Московского округа от 09.02.2022, в удовлетворении заявленного требования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направить дело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предприниматель обратился в министерство с заявлением о выдаче разрешения на осуществление деятельности по перевозке пассажиров и багажа легковым такси на территории Московской области. По результатам рассмотрения заявления, министерством, на основании пунктов 10, 13.2 Административного регламента предоставления государственной услуги «Выдача разрешения, переоформление разрешения на осуществление деятельности по перевозке пассажиров и багажа легковым такси на территории Московской области», утвержденного распоряжением министерства от 24.05.2019 № 317-р (далее - Административный регламент), принято решение об отказе в предоставлении государственной услуги «Выдача разрешения, переоформление разрешения на осуществление деятельности по перевозке пассажиров и багажа легковым такси на территории Московской области», мотивированное несоответствием представленного заявления и иных документов, необходимых для предоставления государственной услуги, требованиям, установленным правовыми актами Российской Федерации, Московской области и Административным регламентом. Считая отказ в предоставлении государственной услуги незаконным, предприниматель обратился в арбитражный суд. Оценив представленные в материалы дела доказательства, суды трех инстанций, руководствуясь положениями статьи 9 Федерального закона от 21.04.2011 № 69-ФЗ «О внесении изменений в отдельные законодательные акты Российской Федерации», Административным регламентом, пришли к выводу о законности оспариваемого решения ввиду наличия у министерства правовых оснований для отказа в предоставлении государственной услуги заявителю. Судебные инстанции исходили из представления предпринимателем недостоверных сведений. Так, с заявлением предпринимателем представлены договор аренды автомобиля от 01.04.2021 № 30, заключенный предпринимателем с собственником - Халмирзаевым Б.А., и СТС 99 26 № 314181. При этом предметом аренды является транспортное средство Kia JD 3 (CEE'D), на которое на момент рассмотрения спора собственнику транспортного средства выдано разрешение № 365993, в заявлении собственника транспортного средства содержатся иные реквизиты СТС, транспортное средство имеет иную цветовую гамму. Доводы, изложенные в кассационной жалобе, в том числе со ссылками на судебные акты по иным делам, не опровергают выводы судов и не свидетельствуют о принятии неправильных судебных актов по существу спора с учетом установленных обстоятельств настоящего дела. Существенных нарушений норм материального и процессуального права, повлиявших на исход дела, судами не допущено.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не входит в полномочия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