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17.08.2021, оставленным без изменения постановлением Тринадцатого арбитражного апелляционного суда от 30.11.2021 и постановлением Арбитражного суда Северо-Западного округа от 17.03.2022, в удовлетворении первоначального и встречного исковых требований отказано. 2 В кассационной жалобе, поданной в Верховный Суд Российской Федерации, общество просит отменить судебные акты в части отказа в удовлетворении первоначального иска, ссылаясь на существенное нарушение судами норм права, и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между предприятием (заказчик) и обществом (исполнитель) заключен государственный контракт на выполнение ремонта специальных технических средств с проведением модернизационных работ. В соответствии с условиями контракта заказчик произвел оплату аванса в размере 10 500 000 рублей. Исполнитель выполнил обязательства по первому этапу работ и направил в адрес заказчика акт сдачи-приемки выполненных работ. Акт сдачи-приемки выполненных работ заказчиком не подписан, мотивированного отказа от подписания в адрес исполнителя не направлено. Заказчик 25.12.2020 направил исполнителю протокол скидки со ссылкой на результат анализа фактических затрат, проведенного Департаментом аудита государственных контрактов министерства, согласно которому принята сумма снижения затрат общества в размере 5 758 768 рублей 18 копеек. Исполнитель сообщил заказчику об отсутствии согласия на оформление протокола скидки. Заказчик произвел окончательную оплату первого этапа работ на сумму 2 982 137 рублей 12 копеек. Претензия исполнителя об оплате оставшейся суммы задолженности оставлена предприятием без удовлетворения, что послужило основанием для обращения общества в арбитражный суд. Заказчик обратился в суд со встречным требованием о возложении на исполнителя обязанности подписать протокол скидки. Оценив представленные в материалы дела доказательства, суды трех инстанций, руководствуясь положениями статей 309, 310, 421, 424, 454, 702, 711 Гражданского кодекса Российской Федерации, статей 3, 7, 9, 10, 11, 12 Федерального закона от 29.12.2012 № 275-ФЗ «О государственном оборонном 3 заказе», пунктами 42, 43 постановления Правительства Российской Федерации от 02.12.2017 № 1465 «О государственном регулировании цен на продукцию, поставляемую по государственному оборонному заказу, а также о внесении изменений и признании утратившими силу некоторых актов Правительства Российской Федерации», пришли к выводу об отсутствии оснований для удовлетворения первоначальных и встречных исковых требований. Судебные инстанции исходили из того, что выполненные работы оплачены предприятием с учетом произведенной министерством (государственный заказчик) корректировки цены работ. При этом общество было осведомлено о заключении контракта в рамках исполнения государственного оборонного заказа и обязано учитывать специфику законодательства, регулирующего сферу государственного оборонного заказа, включая условия о корректировке цены договора. Кроме того, заключая контракт на условиях возможности корректировки фиксированной цены работ, общество фактически согласилось на изменение именно фиксированной, а не ориентировочной цены (дополнительное соглашение № 1 от 29.09.2020). Доводы, изложенные в кассационной жалобе, являлись предметом рассмотрения судов и не опровергают их выводы, послужившие основанием для принятия судебных актов. Несогласие общества с выводами судов, иная оценка фактических обстоятельств дела и иное применение к ним положений закона не означают допущенной при рассмотрении дела судебной ошибки, не свидетельствуют о существенных нарушениях норм материального и процессуального права, повлиявших на исход дела, и не могут служить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«Водтрансприбор-Пуск»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