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Ростовской области от 02.08.2021, оставленным без изменения постановлением Пятнадцатого арбитражного апелляционного суда от 13.10.2021 и постановлением Арбитражного суда Северо-Кавказского округа от 11.02.2022,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мотивированы неисполнением фирмой (покупатель) обязательств по оплате поставленного компанией (поставщик) товара по договору поставки от 30.09.2016 № 3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аффилированность сторон спорной сделки, отсутствие реального исполнения по сделке и экономической целесообразности в ее заключении, направленность данной сделки на создание подконтрольной текущей кредиторской задолженности перед аффилированным лицом, руководствуясь статьями 167, 170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первой и апелляционной инстанций признали договор мнимой сделкой и пришли к выводу о необоснованности заявленных требований.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«Гланит»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