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Макарова Т.А. обратилась в суд с жалобой на действия (бездействие) внешнего управляющего Шангареевой Юлии Зуфаровны, отстранения последней от исполнения обязанностей внешнего управляющего и взыскании с неё убытков в размере 164 521 609 рублей. Определением Арбитражного суда Челябинской области от 31.10.2017, оставленным без изменения постановлениями Восемнадцатого арбитражного апелляционного суда от 12.02.2018 и Арбитражного суда Уральского округа от 17.05.2018, требования Макаровой Т.А. о возмещении убытков выделены в отдельное производство; жалоба на действия внешнего управляющего Шангареевой Ю.З. удовлетворена частично, последняя отстранена от исполнения возложенных на неё обязанностей внешнего управляющего должником. Отказано в удовлетворении жалобы в оставшейся части. В рамках разрешения вопроса о возмещении убытков определением Арбитражного суда Челябинской области от 02.11.2018 (с учётом определения от 19.11.2018 об исправлении опечатки) заявление удовлетворено частично, с Шангареевой Ю.З. в пользу должника взыскано 2 237 213 рублей 48 копеек в счёт возмещения убытков, отказано в удовлетворении заявления в остальной части. Постановлением Восемнадцатого арбитражного апелляционного суда от 28.01.2019, оставленным без изменения постановлением Арбитражного суда Уральского округа от 18.04.2019, изменено определение суда первой инстанции 2 от 02.11.2018, с Шангареевой Ю.З. в пользу должника взыскано 2 861 439 рублей 49 копеек убытков. Впоследствии Макарова Т.А. обратилась в суд с заявлением о пересмотре по вновь открывшимся обстоятельствам определения суда от 02.11.2018 в части отказа в удовлетворении требований о возмещении убытков на сумму 189 519 204 рубля 60 копеек. Определением Арбитражного суда челябинской области от 24.06.2021, оставленным без изменения постановлениями Восемнадцатого арбитражного апелляционного суда от 21.10.2021 и Арбитражного суда Уральского округа от 16.02.2022, отказано в удовлетворении заявления о пересмотре судебного акта.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о пересмотре, суд первой инстанции, руководствуясь положениями статей 309-311 Арбитражного процессуального кодекса Российской Федерации, установив, что представленные заявителем сведения и доказательства не являются существенными и не могут повлиять на исход рассмотрения спора, пришел к выводу о недоказанности наличия оснований для пересмотра судебного акта по вновь открывшимся обстоятельствам.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Макаровой Татьяне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