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2 874 400 рублей. Определением Арбитражного суда Костромской области от 13.04.2020, оставленным без изменения постановлением Второго арбитражного апелляционного суда от 26.06.2020, заявление удовлетворено в части. Признаны обоснованными требования на сумму 1 274 400 рублей с включением их в состав требований, подлежащих удовлетворению в очерёдности, предшествующей распределению ликвидационной квоты; в удовлетворении остальной части требований отказано. Постановлением Арбитражного суда Волго-Вятского округа от 23.09.2020 вышеуказанные судебные акты отменены в части отказа во включении в реестр требований общества на сумму 1 600 000 рублей задолженности, возникшей на основании договора уступки прав требования от 04.10.2016, в отменённой части обособленный спор направлен на новое рассмотрение в Арбитражный суд Костромской области. В остальной части определение суда первой инстанции от 13.04.2020 и постановление апелляционного суда от 26.06.2020 оставлены без изменения. 2 При новом рассмотрении спора в указанной части определением Арбитражного суда Костромской области от 03.11.2021, оставленным без изменения постановлениями Второго арбитражного апелляционного суда от 20.12.2021 и Арбитражного суда Волго-Вятского округа от 05.04.2022, требование общества в размере 1 600 000 рублей включены в состав требований, подлежащих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указанные судебные акты в части определения очередности погашения требований общества в размере 1 600 000 рублей и принять новый судебный акт о включении требований в третью очередь реестра.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19 Федерального закона от 26.10.2002 № 127-ФЗ «О несостоятельности (банкротстве)», позицией, изложенной в пунктах 3.1, 4 и 6.2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пришли к обоснованному выводу о наличии оснований для субординации требований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«Авто-Плаза-Люкс»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