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20.07.2021, оставленным без изменения постановлением Второго арбитражного апелляционного суда от 22.10.2021 и постановлением Арбитражного суда Волго-Вятского округа от 14.02.2022, исковые требования удовлетворены. В кассационной жалобе, поданной в Верховный Суд Российской Федерации, фирма,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Удовлетворяя исковые требования, суды первой и апелляционной инстанций, с выводами которых впоследствии согласился суд округа, руководствовались статьями 309, 310, 450, 454, 469, 475, 506, 518, 523 Гражданского кодекса Российской Федерации, положениями Федерального закона от 21.11.2011 № 323-ФЗ «Об основах охраны здоровья граждан в Российской Федерации», разъяснениями, изложенными в постановлении Пленума Высшего Арбитражного Суда Российской Федерации от 06.06.2014 № 35 «О последствиях расторжения договора»,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из установленных обстоятельств, свидетельствующих о поставке фирмой обществу товара, непригодного для использования в соответствии с его назначением. Выводы судов подробно мотивированы в обжалуемых судебных актах.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«Научно-производственная фирма «Костромская Медтехника-Сервис»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