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взыскании с ФИО2 в пользу должника убытков в размере 100 510 082 рубля 69 копеек. Определением Арбитражного суда города Москвы от 24.11.2020, оставленным без изменения постановлением Девятого арбитражного апелляционного суда от 05.02.2021, заявление удовлетворено. Постановлением Арбитражного суда Московского округа от 09.06.2021 отменены вышеуказанные судебные акты,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спор на новое рассмотрение, суд округа, руководствуясь положениями статей 15 и 168 Арбитражного процессуального кодекса Российской Федерации, статей 15 и 53 Гражданского кодекса Российской Федерации, статьи 44 Федерального закона от 08.02.1998 № 14-ФЗ «Об обществах с ограниченной ответственностью», исходил из того, что имеющие значение для надлежащего разрешения настоящего обособленного спора фактические обстоятельства судами первой и апелляционной инстанций в полном объеме не установлены. При новом рассмотрении судам, в том числе необходимо дать надлежащую оценку доводам участвующих в обособленном споре лиц, надлежащим образом установить наличие или отсутствие причинно-следственной связи между действиями ФИО2 и убытками на стороне должника в заявленном размере.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Приведённые в нём выводы соответствуют нормам права, оснований для переоценки этих выводов по доводам жалобы не имеется. В связи с тем, что вопрос об удовлетворении либо отказе в удовлетворении требований арбитражным судом округа не был окончательно разрешен, заявитель не лишён возможности при новом рассмотрении дела изложить свои доводы со ссылками на нормы права и имеющиеся в деле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«СтройИнвест»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Судьи дела: Корнелюк Е.С.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