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23.07.2021, оставленным без изменения постановлением Девятого арбитражного апелляционного суда от 13.10.2021 и постановлением Арбитражного суда Московского округа от 14.02.2022, исковое заявление удовлетворено. В кассационной жалобе, поданной в Верховный Суд Российской Федерации, банк,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ПАО «Курский промышленный банк» (банк, гарант) выдана ООО ДСК «СтройМеханизация» (принципал, подрядчик) банковская гарантия от 09.01.2020 № ЭГ-104486/19 в целях обеспечения исполнения обязательств по договору от 21.01.2020 № Ф.2019.001728 на выполнение работ по ремонту участков дорожно- транспортной сети города Омска, заключенному с учреждением (бенефициар, заказчик) на сумму 15 972 986 рублей 16 копеек. ПАО «Курский промышленный банк» прекратило деятельность путем реорганизации в форме присоединения к ООО «Экспобанк» (в настоящее время - АО «Экспобанк»). Договор от 21.01.2020 № Ф.2019.001728 на выполнение работ расторгнут учреждением 02.06.2020 в связи с ненадлежащим исполнением обязательств подрядчиком, о чем в единой информационной системе размещена соответствующая информация. Обязательства по выплате денежных средств по банковской гарантии банком не исполнены, что явилось основанием для обращения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02.12.1990 № 395-1 «О банках и банковской деятельности», пришли к выводу о наличии оснований для удовлетворения искового требования, с чем согласился суд округа. 3 Суды исходили из того, что требование истца о выплате по спорной банковской гарантии, направленное в адрес ответчика, соответствует условиям банковской гарантии. Как указали суды, банк находится по тому же адресу, указанному в банковской гарантии, что и его правопредшественник, обязан обеспечить получение почтовых отправлений и несет риск последствий неполучения юридически значимых сообщений. Доводы, изложенные в кассационной жалобе, в том числе о представлении учреждением ненадлежащего расчета по требованию по банковской гарантии, являлись предметом рассмотрения судов и получили надлежащую правовую оценку, выражают несогласие с установленными фактическими обстоятельствами дела, направлены на их переоценку, в связи с чем не могут служить основанием для передачи жалобы на рассмотрение Судебной коллегии Верховного Суда Российской Федерации.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«Экспобанк»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