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его требования в размере 173 120 110 рублей 51 копейки. Определением Арбитражного суда Калужской области от 21.04.2021, оставленным без изменения постановлениями Двадцатого арбитражного апелляционного суда от 24.06.2021 и Арбитражного суда Центрального округа от 16.02.2022, требование общества в размере 172 920 110 рублей 51 копейки признано обоснованным и подлежащим удовлетворению в очерёдности, предшествующей распределению ликвидационной квоты. В части установления требования в размере 200 000 рублей государственной пошлины производство по заявлению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включении требования в третью очередь реестра без понижения в очерёдности удовлетворения.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 19, 71, 100,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утверждённым Президиумом Верховного Суда Российской Федерации 29.01.2020, исходили из наличия оснований для субординации требований общества.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Пятовское»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