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«Таткабель» (далее - общество) обратилось в Арбитражный суд Республики Татарстан с иском к обществу с ограниченной ответственностью «СтройПартнер» о взыскании неосновательного обогащения в размере 2 160 188 руб. 63 коп., неустойки в размере 1 481 889 руб. 40 коп. Определением Арбитражного суда Республики Татарстан от 25.11.2021, оставленным без изменения постановлением Одиннадцатого арбитражного апелляционного суда от 31.01.2022 и постановлением Арбитражного суда Поволжского округа от 04.03.2022, по делу назначена судебная экспертиза, производство по делу приостановлено. В кассационной жалобе и дополнении к ней, поданных в Верховный Суд Российской Федерации, общество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первой инстанции, учитывая предмет и обстоятельства спора, принимая во внимание заявление ответчика о фальсификации представленных доказательств, руководствуясь статьями 82, 144 Арбитражного процессуального кодекса Российской Федерации, пришел к выводу о необходимости назначения судебной экспертизы, в связи с чем приостановил производство по делу. Суды апелляционной инстанции и округа указали на соответствие действий суда первой инстанции нормам процессуального законодательства. Доводы кассационной жалобы не подтверждают существенных нарушений судами норм права, повлиявших на исход дела,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«Таткабель»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