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15.07.2021, оставленным без изменения постановлением Пятнадцатого арбитражного апелляционного суда от 15.09.2021, в удовлетворении иска отказано. Постановлением Арбитражного суда Северо-Кавказского округа от 09.02.2022 решение суда первой инстанции и постановление суда апелляционной инстанции отменены, дело направлено на новое рассмотрение в Арбитражный суд Ростовской области. В кассационной жалобе, поданной в Верховный Суд Российской Федерации, товарищество, ссылаясь на нарушение судом округа норм права, просит отменить его постановление и оставить в силе решение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 исследовали все обстоятельства, имеющие существенное значение для правильного разрешения спора.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«Кривоноса-3»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