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12.10.2021, оставленным без изменения постановлением Девятого арбитражного апелляционного суда от 21.12.2021 и постановлением Арбитражного суда Московского округа от 31.03.2021, заявление удовлетворено. В кассационной жалобе Плешков С.В. просит о пересмотре судебных актов, ссылаясь на отсутствие у финансового управляющего права на получение вознаграждения из суммы, полученной в результате продажи жилья, обладающего исполнительским иммунитетом. Согласно части 1 стати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Право на вознаграждение признано судами возникшим в связи с вкладом финансового управляющего в достижение цели процедур банкротства должника, и требование о вознаграждении удовлетворено в соответствии с пунктом 5 статьи 213.27 Федерального закона от 26.10.2002 № 127-ФЗ «О несостоятельности (банкротстве)», предусматривающим распределение выручки от продажи заложенного имущества, на которое не распространяется правило об исполнительском иммунитете.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Плешкову С.В.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