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13.08.2021, оставленным без изменения постановлением Пятого арбитражного апелляционного суда от 06.12.2021 и постановлением Арбитражного суда Дальневосточного округа от 17.02.2022, заявление удовлетворено частично: признана недействительной сделка должника с ООО «Ариэль», с последнего в конкурсную массу взыскано 43 580 000 рублей. В кассационной жалобе Петровский М.В. просит об отмене судебных актов, ссылаясь на неосновательную оценку сделок по отдельности.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оспариваемых договоров и признали отвечающим основаниям недействительности в силу пункта 2 статьи 61.2 Федерального закона от 26.10.2002 № 127-ФЗ «О несостоятельности (банкротстве)» первый из заключенных в отношении имущества договор по признакам неравноценного встречного исполнения и заинтересованности приобретателя и должника. Суды установили, что конечный приобретатель не связан с должником, приобрел имущество за рыночную цену, передал его в залог банку в счет исполнения обязательства по возврату полученного для приобретения имущества кредита, улучшил имущество, поэтому договор с ним не попадает под основания недействительности. Доводы жалобы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Петровскому Максиму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