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24.08.2021, оставленным без изменения постановлением Девятого арбитражного апелляционного суда от 27.10.2021 и постановлением Арбитражного суда Московского округа от 24.02.2022, в удовлетворении иска отказано. В кассационной жалобе, поданной в Верховный Суд Российской Федерации, компания, ссылаясь на нарушение судами норм права, просит отменить указанные судебные акты и направить дело на новое рассмотрение в Арбитражный суд города Москвы.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принятых по делу судебных актов и доводов кассационной жалобы не установлено. Как следует из обжалуемых судебных актов, третье лицо по спецификации от 13.10.2017 № 11 к договору поставки от 24.05.2017 передало компании оборудование. Ссылаясь на то, что общество, являющееся изготовителем спорного оборудования, после его ремонта отказалось от проведения работ по его установке, в связи с чем компания понесла соответствующие расходы, последняя обратилась в арбитражный суд с настоящим иском.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учитывая, что договорные отношения по поставке спорного оборудования между сторонами отсутствуют, оборудование поставлено компании третьим лицом, а не обществом, не установив обстоятельств, свидетельствующих о допущенных со стороны ответчика нарушений, руководствуясь статьями 15, 393, 475, 518, 1064 Гражданского кодекса Российской Федерации, суды первой и апелляционной инстанций пришли к выводу об отсутствии оснований для удовлетворения иска. Суд округа поддержал выводы судов первой и апелляционной инстанций. Изложенные в кассационной жалобе доводы не опровергают выводы судов,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Управляющая компания «РусЭнергоМир»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