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Рязанской области от 06.09.2021, оставленным без изменения постановлением Двадцатого арбитражного апелляционного суда от 16.11.2021 и постановлением Арбитражного суда Центрального округа от 30.03.2022, заявление удовлетворено. В кассационной жалобе Лавренина С.Н. просит об отмене судебных актов, ссылаясь на прекращение залога, окончание процедуры реализации имущества и передачу ей нереализованного имущества на основании решения собрания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о прекращении залога, окончании процедуры реализации имущества и оставлении за должником имущества правомерно не приняты судами как противоречащие цели и существу процедуры банкротства. Руководствуясь статьями 291.6, 219.8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Лаврениной С.Н.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