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02.08.2021 в удовлетворении заявления отказано. Девятый арбитражный апелляционный суд постановлением от 17.11.2021 отменил определение от 02.08.2021 и удовлетворил заявление. Арбитражный суд Московского округа постановлением от 16.02.2022 постановление апелляционного суда от 17.11.2021 оставил без изменения. В кассационной жалобе Коротких А.В. просит об отмене судебных актов апелляционного и окружного судов, ссылаясь на неправильную оценку обстоятельств заключения оспариваемых договоров, неосновательное признание сделок недействительными по общегражданским основаниям, неправильное неприменение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исследовал обстоятельства заключения оспариваемых сделок и установил их взаимосвязанность и направленность на безвозмездную замену правообладателя имущества на заинтересованных лиц в целях недопущения обращения на него взыскания по обязательствам должника, создающие условия для недействительности договоров в силу статей 10, 168, 170 Гражданского кодекса Российской Федерации. Для признания сделок недействительными по указанным основаниям применяется срок исковой давности, предусмотренный пунктом 1 статьи 181 Гражданского кодекса Российской Федерации, начало течения которого для финансового управляющего определено по правилу статьи 200 Кодекса и соблюдение которого установлено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Коротких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