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05.10.2021, оставленным без изменения постановлением Семнадцатого арбитражного апелляционного суда от 29.11.2021 и постановлением Арбитражного суда Уральского округа от 14.02.2022, в удовлетворении ходатайства отказано. В кассационной жалобе Садыкова Л.С. просит об отмене судебных актов, ссылаясь на игнорирование судами недобросовестного поведения должника и нарушение прав кредиторов.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руководствуясь статьей 213.25 Федерального закона от 26.10.2002 № 127-ФЗ «О несостоятельности (банкротстве)», статьей 446 Гражданского процессуального кодекса Российской Федерации, статьей 69 Арбитражного процессуального кодекса Российской Федерации, установили, что спорная недвижимость обладает исполнительским иммунитетом, поэтому признали ее не подлежащей реализации по долгам. Фактический размер строения установлен судами и не признан исключающим применение иммунитета. Отказ в отложении судебного заседания не является нарушением и не влечет пересмотра судебного акта.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Садыковой Л.С.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