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04.08.2021, оставленным без изменения постановлением Девятого арбитражного апелляционного суда от 26.10.2021 и постановлением Арбитражного суда Московского округа от 08.02.2022,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департамент с заявлением о выдаче разрешения на осуществление деятельности по перевозке пассажиров и багажа легковым такси на территории города Москвы. По результатам рассмотрения заявления департаментом вынесено решение об отказе в предоставлении государственной услуги в связи с несоответствием представленных документов требованиям, установленным правовыми актами Российской Федерации, правовыми актами города Москвы и Административным регламентом предоставления государственной услуги города Москвы «Выдача разрешения, переоформление разрешения, выдача дубликата разрешения и аннулирование разрешения на осуществление деятельности по перевозке пассажиров и багажа легковым такси на территории города Москвы», утвержденным постановлением Правительства Москвы от 28.06.2011 № 278-ПП «О мерах по реализации Федерального закона от 21 апреля 2011 г. № 69-ФЗ «О внесении изменений в отдельные законодательные акты Российской Федерации» (далее - Административный регламент). Считая отказ в предоставлении государственной услуги незаконным, предприниматель обратился в арбитражный суд. Оценив представленные в материалы дела доказательства, суды трех инстанций, руководствуясь положениями статьи 9 Федерального закона от 21.04.2011 № 69-ФЗ «О внесении изменений в отдельные законодательные акты Российской Федерации», статьи 2.1 Закона города Москвы от 11.06.2008 № 22 «О легковом такси в городе Москве», Административным регламентом, пришли к выводу о законности оспариваемого решения ввиду наличия у департамента правовых оснований для отказа в предоставлении государственной услуги заявителю. Судебные инстанции исходили из представления предпринимателем недостоверных сведений о цвете кузова транспортного средства, которое предполагается использовать для оказания услуг по перевозке пассажиров и багажа легковым такси. 3 Доводы, изложенные в кассационной жалобе, в том числе со ссылками на судебные акты по иным делам, не опровергают выводы судов и не свидетельствуют о принятии неправильных судебных актов по существу спора с учетом установленных фактических обстоятельств настоящего дела. Существенных нарушений норм материального и процессуального права, повлиявших на исход дела, судами не допущено. Переоценка доказательств и установленных судами фактических обстоятельств спора в силу статьи 2916 Арбитражного процессуального кодекса Российской Федерации не входит в полномочия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Хаярову Ренату Фатыховичу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