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07.05.2021 взыскано 34 439 818 рублей 60 копеек задолженности, 1 205 098 рублей 55 копеек неустойки по состоянию на 26.04.2021, неустойка с 27.04.2021 по день фактической оплаты долга, 30 000 рублей судебных расходов. Постановлением Десятого арбитражного апелляционного суда от 21.10.2021, оставленным без изменения постановлением Арбитражного суда Московского округа от 15.02.2022, решение отменено: взыскано 289 244 рубля 60 копеек неустойки, 405 рублей расходов на оплату услуг представителя. В кассационной жалобе общество «ИНВЕСТПРОМ» просит об отмене судебных актов, ссылаясь на несоответствие их договору и неисследование довода о недействительности зачета.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признал недоказанность оказания услуг в заявленном объеме и состоявшийся зачет требования ответчика об убытках вследствие ненадлежащего исполнения договора. Судебные акты соответствуют установленным обстоятельствам исполнения договора от 29.12.2018 № Р-Т1-2018-16, его условиям и статьям 779, 781 Гражданского кодекса Российской Федерации. Требуемая подателем жалобы переоценка обстоятельств исполнения обязательств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«ИНВЕСТПРОМ»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