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заявления определением Арбитражного суда Ханты-Мансийского автономного округа – Югры от 09.07.2021, оставленным без изменения постановлением Восьмого арбитражного апелляционного суда от 12.10.2021 и постановлением Арбитражного суда Западно-Сибирского округа от 14.02.2022, заявление удовлетворено. В кассационной жалобе Востриков Е.Н. просит об отмене судебных актов, ссылаясь на отсутствие общих обязательств, преюдицию решения суда общей юрисдикции,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солидарный характер долга супругов, изменение режима общей собственности на который не влияет, поэтому признали долг общим для супругов в силу статьей 34, 35, 45 Семейного кодекса Российской Федерации, статей 213.8, 213.19, 213.24, 213.26 Федерального закона от 26.10.2002 № 127-ФЗ «О несостоятельности (банкротстве)» и судебной практики их применения. Довод о пропуске срока исковой давности был предметом рассмотрения судов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Вострикову Е.Н.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