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31.05.2021, оставленным без изменения постановлением Одиннадцатого арбитражного апелляционного суда от 13.12.2021 и постановлением Арбитражного суда Поволжского округа от 09.03.2022, требование в сумме 1 150 000 рублей включено в четвертую очередь реестра, в остальной части в удовлетворении заявления отказано. В кассационной жалобе Казаков В.В. просит об отмене судебных актов, ссылаясь на необоснованную переквалификацию заявленного требования в денежное, игнорирование понесенных затрат на содержание и ремонт спорного помещения.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спорное помещение является самовольной постройкой и не может быть квалифицировано в качестве объекта долевого строительства, а отношения сторон – как вытекающие из договора о долевом участии в строительстве, суды, руководствуясь статьями 71, 100, 201.1, 201.6 Федерального закона от 26.10.2002 № 127-ФЗ «О несостоятельности (банкротстве)», статьей 222 Гражданского кодекса Российской Федерации, статьей 4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включили требование в реестр как денежное, поскольку факт оплаты должнику денежной суммы подтвержден. Несогласие с оценкой обстоятельств спора, осуществленной судами в пределах компетенции,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Казакову Виктору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